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BD" w:rsidRDefault="00891DBD" w:rsidP="00891DBD">
      <w:pPr>
        <w:jc w:val="center"/>
        <w:rPr>
          <w:rFonts w:ascii="华文中宋" w:eastAsia="华文中宋" w:hAnsi="华文中宋"/>
          <w:sz w:val="44"/>
          <w:szCs w:val="44"/>
        </w:rPr>
      </w:pPr>
      <w:r>
        <w:rPr>
          <w:rFonts w:ascii="华文中宋" w:eastAsia="华文中宋" w:hAnsi="华文中宋" w:hint="eastAsia"/>
          <w:sz w:val="44"/>
          <w:szCs w:val="44"/>
        </w:rPr>
        <w:t>全国农产品加工产业发展联盟</w:t>
      </w:r>
    </w:p>
    <w:p w:rsidR="00891DBD" w:rsidRDefault="00891DBD" w:rsidP="00891DBD">
      <w:pPr>
        <w:jc w:val="center"/>
        <w:rPr>
          <w:rFonts w:ascii="华文中宋" w:eastAsia="华文中宋" w:hAnsi="华文中宋"/>
          <w:sz w:val="44"/>
          <w:szCs w:val="44"/>
        </w:rPr>
      </w:pPr>
      <w:r>
        <w:rPr>
          <w:rFonts w:ascii="华文中宋" w:eastAsia="华文中宋" w:hAnsi="华文中宋" w:hint="eastAsia"/>
          <w:sz w:val="44"/>
          <w:szCs w:val="44"/>
        </w:rPr>
        <w:t>工作委员会管理办法</w:t>
      </w:r>
    </w:p>
    <w:p w:rsidR="00891DBD" w:rsidRDefault="00891DBD" w:rsidP="00891DBD">
      <w:pPr>
        <w:rPr>
          <w:rFonts w:ascii="仿宋" w:eastAsia="仿宋" w:hAnsi="仿宋"/>
          <w:sz w:val="32"/>
          <w:szCs w:val="32"/>
        </w:rPr>
      </w:pP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hint="eastAsia"/>
          <w:sz w:val="32"/>
          <w:szCs w:val="32"/>
        </w:rPr>
        <w:t>为加强全国农产品加工产业农加工联盟（以下简称“农加工联盟”）工作委员会的工作，规范工作委员会的管理，促进工作委员会的有序发展，制定本管理办法。</w:t>
      </w:r>
    </w:p>
    <w:p w:rsidR="00891DBD" w:rsidRDefault="00891DBD" w:rsidP="00891DBD">
      <w:pPr>
        <w:spacing w:line="360" w:lineRule="auto"/>
        <w:ind w:firstLineChars="200" w:firstLine="640"/>
        <w:rPr>
          <w:rFonts w:ascii="黑体" w:eastAsia="黑体" w:hAnsi="黑体" w:cs="Arial"/>
          <w:sz w:val="32"/>
          <w:szCs w:val="32"/>
        </w:rPr>
      </w:pPr>
      <w:r>
        <w:rPr>
          <w:rFonts w:ascii="黑体" w:eastAsia="黑体" w:hAnsi="黑体" w:cs="Arial" w:hint="eastAsia"/>
          <w:sz w:val="32"/>
          <w:szCs w:val="32"/>
        </w:rPr>
        <w:t>一、设 立</w:t>
      </w:r>
    </w:p>
    <w:p w:rsidR="00891DBD" w:rsidRDefault="00891DBD" w:rsidP="00891DBD">
      <w:pPr>
        <w:spacing w:line="360" w:lineRule="auto"/>
        <w:ind w:firstLineChars="200" w:firstLine="640"/>
        <w:jc w:val="left"/>
        <w:rPr>
          <w:rFonts w:ascii="仿宋" w:eastAsia="仿宋" w:hAnsi="仿宋"/>
          <w:sz w:val="32"/>
          <w:szCs w:val="32"/>
        </w:rPr>
      </w:pPr>
      <w:r>
        <w:rPr>
          <w:rFonts w:ascii="仿宋" w:eastAsia="仿宋" w:hAnsi="仿宋" w:cs="Arial" w:hint="eastAsia"/>
          <w:sz w:val="32"/>
          <w:szCs w:val="32"/>
        </w:rPr>
        <w:t>1.工作委员会是联盟依据《社团分支机构、代表机构登记办法》、《</w:t>
      </w:r>
      <w:r>
        <w:rPr>
          <w:rFonts w:ascii="仿宋" w:eastAsia="仿宋" w:hAnsi="仿宋" w:hint="eastAsia"/>
          <w:sz w:val="32"/>
          <w:szCs w:val="32"/>
        </w:rPr>
        <w:t>全国农产品加工产业农加工联盟</w:t>
      </w:r>
      <w:r>
        <w:rPr>
          <w:rFonts w:ascii="仿宋" w:eastAsia="仿宋" w:hAnsi="仿宋" w:cs="Arial" w:hint="eastAsia"/>
          <w:sz w:val="32"/>
          <w:szCs w:val="32"/>
        </w:rPr>
        <w:t>章程》设立的、承担</w:t>
      </w:r>
      <w:r>
        <w:rPr>
          <w:rFonts w:ascii="仿宋" w:eastAsia="仿宋" w:hAnsi="仿宋" w:hint="eastAsia"/>
          <w:sz w:val="32"/>
          <w:szCs w:val="32"/>
        </w:rPr>
        <w:t>全国农产品加工产业农加工联盟</w:t>
      </w:r>
      <w:r>
        <w:rPr>
          <w:rFonts w:ascii="仿宋" w:eastAsia="仿宋" w:hAnsi="仿宋" w:cs="Arial" w:hint="eastAsia"/>
          <w:sz w:val="32"/>
          <w:szCs w:val="32"/>
        </w:rPr>
        <w:t>有关业务活动的分支机构。名称为</w:t>
      </w:r>
      <w:r>
        <w:rPr>
          <w:rFonts w:ascii="仿宋" w:eastAsia="仿宋" w:hAnsi="仿宋" w:hint="eastAsia"/>
          <w:sz w:val="32"/>
          <w:szCs w:val="32"/>
        </w:rPr>
        <w:t>全国农产品加工产业农加工联盟</w:t>
      </w:r>
      <w:r>
        <w:rPr>
          <w:rFonts w:ascii="仿宋" w:eastAsia="仿宋" w:hAnsi="仿宋" w:cs="Arial"/>
          <w:sz w:val="32"/>
          <w:szCs w:val="32"/>
        </w:rPr>
        <w:t>×××</w:t>
      </w:r>
      <w:r w:rsidRPr="00632678">
        <w:rPr>
          <w:rFonts w:ascii="仿宋" w:eastAsia="仿宋" w:hAnsi="仿宋" w:hint="eastAsia"/>
          <w:sz w:val="32"/>
          <w:szCs w:val="32"/>
        </w:rPr>
        <w:t>(省市自治区、地市)</w:t>
      </w:r>
      <w:r>
        <w:rPr>
          <w:rFonts w:ascii="仿宋" w:eastAsia="仿宋" w:hAnsi="仿宋" w:hint="eastAsia"/>
          <w:sz w:val="32"/>
          <w:szCs w:val="32"/>
        </w:rPr>
        <w:t>工作委员会。</w:t>
      </w:r>
    </w:p>
    <w:p w:rsidR="00891DBD" w:rsidRDefault="00891DBD" w:rsidP="00891DBD">
      <w:pPr>
        <w:spacing w:line="360" w:lineRule="auto"/>
        <w:jc w:val="left"/>
        <w:rPr>
          <w:rFonts w:ascii="仿宋" w:eastAsia="仿宋" w:hAnsi="仿宋"/>
          <w:sz w:val="32"/>
          <w:szCs w:val="32"/>
        </w:rPr>
      </w:pPr>
      <w:r>
        <w:rPr>
          <w:rFonts w:ascii="仿宋" w:eastAsia="仿宋" w:hAnsi="仿宋" w:hint="eastAsia"/>
          <w:sz w:val="32"/>
          <w:szCs w:val="32"/>
        </w:rPr>
        <w:t xml:space="preserve">    2.工作委员会须遵守《全国农产品加工产业发展联盟章程》，接受联盟的领导，在联盟授权的业务范围内开展活动，不具有法人资格。工作委员会办事机构须挂靠在可承担相应民事和经济法律责任的法人单位名下。 </w:t>
      </w:r>
    </w:p>
    <w:p w:rsidR="00891DBD" w:rsidRDefault="00891DBD" w:rsidP="00891DBD">
      <w:pPr>
        <w:spacing w:line="360" w:lineRule="auto"/>
        <w:ind w:firstLine="630"/>
        <w:jc w:val="left"/>
        <w:rPr>
          <w:rFonts w:ascii="仿宋" w:eastAsia="仿宋" w:hAnsi="仿宋"/>
          <w:sz w:val="32"/>
          <w:szCs w:val="32"/>
        </w:rPr>
      </w:pPr>
      <w:r>
        <w:rPr>
          <w:rFonts w:ascii="仿宋" w:eastAsia="仿宋" w:hAnsi="仿宋" w:hint="eastAsia"/>
          <w:sz w:val="32"/>
          <w:szCs w:val="32"/>
        </w:rPr>
        <w:t>3.工作委员会不另制定章程，不得再设立分支机构。</w:t>
      </w:r>
    </w:p>
    <w:p w:rsidR="00891DBD" w:rsidRDefault="00891DBD" w:rsidP="00891DBD">
      <w:pPr>
        <w:spacing w:line="360" w:lineRule="auto"/>
        <w:ind w:firstLine="630"/>
        <w:jc w:val="left"/>
        <w:rPr>
          <w:rFonts w:ascii="黑体" w:eastAsia="黑体" w:hAnsi="黑体"/>
          <w:sz w:val="32"/>
          <w:szCs w:val="32"/>
        </w:rPr>
      </w:pPr>
      <w:r>
        <w:rPr>
          <w:rFonts w:ascii="黑体" w:eastAsia="黑体" w:hAnsi="黑体" w:hint="eastAsia"/>
          <w:sz w:val="32"/>
          <w:szCs w:val="32"/>
        </w:rPr>
        <w:t>二、筹备</w:t>
      </w:r>
    </w:p>
    <w:p w:rsidR="00891DBD" w:rsidRDefault="00891DBD" w:rsidP="00891DB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1.筹备设立工作委员会，须经农加工联盟同意，由发起人或单位向农加工联盟秘书处提出书面申请，经批准后按照</w:t>
      </w:r>
      <w:r>
        <w:rPr>
          <w:rFonts w:ascii="仿宋" w:eastAsia="仿宋" w:hAnsi="仿宋" w:hint="eastAsia"/>
          <w:sz w:val="32"/>
          <w:szCs w:val="32"/>
        </w:rPr>
        <w:lastRenderedPageBreak/>
        <w:t xml:space="preserve">相关规定开展工作。 </w:t>
      </w:r>
    </w:p>
    <w:p w:rsidR="00891DBD" w:rsidRDefault="00891DBD" w:rsidP="00891DBD">
      <w:pPr>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申请筹备应具备下列条件：</w:t>
      </w:r>
    </w:p>
    <w:p w:rsidR="00891DBD" w:rsidRDefault="00891DBD" w:rsidP="00891DB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（1）发起单位或发起人为合法机构与合法公民；</w:t>
      </w:r>
    </w:p>
    <w:p w:rsidR="00891DBD" w:rsidRDefault="00891DBD" w:rsidP="00891DB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（2）发起单位应具有法人资格，在本区域或工作领域具有一定的影响，具有良好的社会声誉和示范带动作用；</w:t>
      </w:r>
    </w:p>
    <w:p w:rsidR="00891DBD" w:rsidRDefault="00891DBD" w:rsidP="00891DB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（3）发起单位填写工作委员会筹备成立申报表并提交以下文件：</w:t>
      </w:r>
    </w:p>
    <w:p w:rsidR="00891DBD" w:rsidRDefault="00891DBD" w:rsidP="00891DBD">
      <w:pPr>
        <w:spacing w:line="360" w:lineRule="auto"/>
        <w:ind w:firstLineChars="200" w:firstLine="640"/>
        <w:jc w:val="left"/>
        <w:rPr>
          <w:rFonts w:ascii="仿宋" w:eastAsia="仿宋" w:hAnsi="仿宋" w:cs="Arial"/>
          <w:sz w:val="32"/>
          <w:szCs w:val="32"/>
        </w:rPr>
      </w:pPr>
      <w:r>
        <w:rPr>
          <w:rFonts w:ascii="仿宋" w:eastAsia="仿宋" w:hAnsi="仿宋" w:hint="eastAsia"/>
          <w:sz w:val="32"/>
          <w:szCs w:val="32"/>
        </w:rPr>
        <w:t>1）</w:t>
      </w:r>
      <w:r w:rsidRPr="00632678">
        <w:rPr>
          <w:rFonts w:ascii="仿宋" w:eastAsia="仿宋" w:hAnsi="仿宋" w:cs="Arial" w:hint="eastAsia"/>
          <w:sz w:val="32"/>
          <w:szCs w:val="32"/>
        </w:rPr>
        <w:t>(省市自治区、地市)</w:t>
      </w:r>
      <w:r>
        <w:rPr>
          <w:rFonts w:ascii="仿宋" w:eastAsia="仿宋" w:hAnsi="仿宋" w:cs="Arial" w:hint="eastAsia"/>
          <w:sz w:val="32"/>
          <w:szCs w:val="32"/>
        </w:rPr>
        <w:t xml:space="preserve">工作委员会住所地的产权或使用权证明复印件并加盖公章；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2）</w:t>
      </w:r>
      <w:r w:rsidRPr="00632678">
        <w:rPr>
          <w:rFonts w:ascii="仿宋" w:eastAsia="仿宋" w:hAnsi="仿宋" w:cs="Arial" w:hint="eastAsia"/>
          <w:sz w:val="32"/>
          <w:szCs w:val="32"/>
        </w:rPr>
        <w:t>(省市自治区、地市)</w:t>
      </w:r>
      <w:r>
        <w:rPr>
          <w:rFonts w:ascii="仿宋" w:eastAsia="仿宋" w:hAnsi="仿宋" w:cs="Arial" w:hint="eastAsia"/>
          <w:sz w:val="32"/>
          <w:szCs w:val="32"/>
        </w:rPr>
        <w:t>工作委员会工作开展的内容、规则、组织机构的初步计划；</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3）拟任负责人的简历、身份证复印件并加盖单位公章；</w:t>
      </w:r>
    </w:p>
    <w:p w:rsidR="00891DBD" w:rsidRDefault="00891DBD" w:rsidP="00891DBD">
      <w:pPr>
        <w:spacing w:line="360" w:lineRule="auto"/>
        <w:ind w:firstLineChars="200" w:firstLine="640"/>
        <w:rPr>
          <w:rFonts w:ascii="仿宋" w:eastAsia="仿宋" w:hAnsi="仿宋"/>
          <w:sz w:val="32"/>
          <w:szCs w:val="32"/>
        </w:rPr>
      </w:pPr>
      <w:r>
        <w:rPr>
          <w:rFonts w:ascii="仿宋" w:eastAsia="仿宋" w:hAnsi="仿宋" w:cs="Arial" w:hint="eastAsia"/>
          <w:sz w:val="32"/>
          <w:szCs w:val="32"/>
        </w:rPr>
        <w:t>4）筹备设立的</w:t>
      </w:r>
      <w:r w:rsidRPr="00632678">
        <w:rPr>
          <w:rFonts w:ascii="仿宋" w:eastAsia="仿宋" w:hAnsi="仿宋" w:cs="Arial" w:hint="eastAsia"/>
          <w:sz w:val="32"/>
          <w:szCs w:val="32"/>
        </w:rPr>
        <w:t>(省市自治区、地市)</w:t>
      </w:r>
      <w:r>
        <w:rPr>
          <w:rFonts w:ascii="仿宋" w:eastAsia="仿宋" w:hAnsi="仿宋" w:cs="Arial" w:hint="eastAsia"/>
          <w:sz w:val="32"/>
          <w:szCs w:val="32"/>
        </w:rPr>
        <w:t>工作委员会应自本会批准筹备之日三十日内召开筹备会议，</w:t>
      </w:r>
      <w:r w:rsidR="00E10739">
        <w:rPr>
          <w:rFonts w:ascii="仿宋" w:eastAsia="仿宋" w:hAnsi="仿宋" w:cs="Arial" w:hint="eastAsia"/>
          <w:sz w:val="32"/>
          <w:szCs w:val="32"/>
        </w:rPr>
        <w:t>筹备期三个月，</w:t>
      </w:r>
      <w:r>
        <w:rPr>
          <w:rFonts w:ascii="仿宋" w:eastAsia="仿宋" w:hAnsi="仿宋" w:cs="Arial" w:hint="eastAsia"/>
          <w:sz w:val="32"/>
          <w:szCs w:val="32"/>
        </w:rPr>
        <w:t>筹备期间不得开展与筹备无关的活动。</w:t>
      </w:r>
      <w:bookmarkStart w:id="0" w:name="_GoBack"/>
      <w:bookmarkEnd w:id="0"/>
    </w:p>
    <w:p w:rsidR="00891DBD" w:rsidRDefault="00891DBD" w:rsidP="00891DBD">
      <w:pPr>
        <w:spacing w:line="360" w:lineRule="auto"/>
        <w:ind w:firstLineChars="200" w:firstLine="640"/>
        <w:rPr>
          <w:rFonts w:ascii="黑体" w:eastAsia="黑体" w:hAnsi="黑体" w:cs="Arial"/>
          <w:sz w:val="32"/>
          <w:szCs w:val="32"/>
        </w:rPr>
      </w:pPr>
      <w:r>
        <w:rPr>
          <w:rFonts w:ascii="黑体" w:eastAsia="黑体" w:hAnsi="黑体" w:cs="Arial" w:hint="eastAsia"/>
          <w:sz w:val="32"/>
          <w:szCs w:val="32"/>
        </w:rPr>
        <w:t xml:space="preserve">三、组织机构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1.</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工作委员会每届任期3年，工作委员会设主任委员1 名、副主任委员2至4名、委员15至21名、秘书长1名，</w:t>
      </w:r>
      <w:r w:rsidRPr="00632678">
        <w:rPr>
          <w:rFonts w:ascii="仿宋" w:eastAsia="仿宋" w:hAnsi="仿宋" w:cs="Arial" w:hint="eastAsia"/>
          <w:sz w:val="32"/>
          <w:szCs w:val="32"/>
        </w:rPr>
        <w:t>(省市自治区、地市)</w:t>
      </w:r>
      <w:r>
        <w:rPr>
          <w:rFonts w:ascii="仿宋" w:eastAsia="仿宋" w:hAnsi="仿宋" w:cs="Arial" w:hint="eastAsia"/>
          <w:sz w:val="32"/>
          <w:szCs w:val="32"/>
        </w:rPr>
        <w:t>工作委员会可设立名誉主任委员1名和顾问若干名。所有工作委员会工作</w:t>
      </w:r>
      <w:r>
        <w:rPr>
          <w:rFonts w:ascii="仿宋" w:eastAsia="仿宋" w:hAnsi="仿宋" w:cs="Arial" w:hint="eastAsia"/>
          <w:sz w:val="32"/>
          <w:szCs w:val="32"/>
        </w:rPr>
        <w:lastRenderedPageBreak/>
        <w:t>人员报农加工联盟备案。</w:t>
      </w:r>
      <w:r>
        <w:rPr>
          <w:rFonts w:ascii="仿宋" w:eastAsia="仿宋" w:hAnsi="仿宋" w:cs="Arial"/>
          <w:sz w:val="32"/>
          <w:szCs w:val="32"/>
        </w:rPr>
        <w:t xml:space="preserve"> </w:t>
      </w:r>
    </w:p>
    <w:p w:rsidR="00891DBD" w:rsidRPr="004F053E" w:rsidRDefault="00891DBD" w:rsidP="00891DBD">
      <w:pPr>
        <w:ind w:firstLine="560"/>
        <w:rPr>
          <w:rFonts w:ascii="仿宋" w:eastAsia="仿宋" w:hAnsi="仿宋" w:cs="Arial"/>
          <w:sz w:val="32"/>
          <w:szCs w:val="32"/>
        </w:rPr>
      </w:pPr>
      <w:r>
        <w:rPr>
          <w:rFonts w:ascii="仿宋" w:eastAsia="仿宋" w:hAnsi="仿宋" w:cs="Arial" w:hint="eastAsia"/>
          <w:sz w:val="32"/>
          <w:szCs w:val="32"/>
        </w:rPr>
        <w:t>2.</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工作委员会会议每一年至少举行一次，由主任委员或委托的副主任委员召集并主持。主要职责是：</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 xml:space="preserve">（1）执行工作委员会的决议：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（2）决定工作委员会的工作方针和任务；</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 xml:space="preserve">（3）审议和批准工作委员会的工作报告；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 xml:space="preserve">（4）提名新一届主任委员、副主任委员人选；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（5）批准委员会委员的变更或增补；</w:t>
      </w:r>
    </w:p>
    <w:p w:rsidR="00891DBD" w:rsidRDefault="00891DBD" w:rsidP="00891DBD">
      <w:pPr>
        <w:ind w:firstLineChars="200" w:firstLine="640"/>
        <w:rPr>
          <w:rFonts w:ascii="仿宋" w:eastAsia="仿宋" w:hAnsi="仿宋" w:cs="Arial"/>
          <w:sz w:val="32"/>
          <w:szCs w:val="32"/>
        </w:rPr>
      </w:pPr>
      <w:r>
        <w:rPr>
          <w:rFonts w:ascii="仿宋" w:eastAsia="仿宋" w:hAnsi="仿宋" w:cs="Arial" w:hint="eastAsia"/>
          <w:sz w:val="32"/>
          <w:szCs w:val="32"/>
        </w:rPr>
        <w:t>（6）决定其他重大事项。</w:t>
      </w:r>
    </w:p>
    <w:p w:rsidR="00891DBD" w:rsidRDefault="00891DBD" w:rsidP="00891DBD">
      <w:pPr>
        <w:ind w:firstLineChars="200" w:firstLine="640"/>
        <w:rPr>
          <w:rFonts w:ascii="仿宋" w:eastAsia="仿宋" w:hAnsi="仿宋" w:cs="Arial"/>
          <w:sz w:val="32"/>
          <w:szCs w:val="32"/>
        </w:rPr>
      </w:pPr>
      <w:r w:rsidRPr="004F053E">
        <w:rPr>
          <w:rFonts w:ascii="仿宋" w:eastAsia="仿宋" w:hAnsi="仿宋" w:cs="Arial" w:hint="eastAsia"/>
          <w:sz w:val="32"/>
          <w:szCs w:val="32"/>
        </w:rPr>
        <w:t>地区工作委员会的设置标准与管理办法公布如下：</w:t>
      </w:r>
    </w:p>
    <w:p w:rsidR="00891DBD" w:rsidRDefault="00891DBD" w:rsidP="00891DBD">
      <w:pPr>
        <w:ind w:firstLineChars="200" w:firstLine="640"/>
        <w:rPr>
          <w:rFonts w:ascii="仿宋" w:eastAsia="仿宋" w:hAnsi="仿宋"/>
          <w:sz w:val="32"/>
          <w:szCs w:val="32"/>
        </w:rPr>
      </w:pPr>
      <w:r w:rsidRPr="004F053E">
        <w:rPr>
          <w:rFonts w:ascii="仿宋" w:eastAsia="仿宋" w:hAnsi="仿宋" w:hint="eastAsia"/>
          <w:sz w:val="32"/>
          <w:szCs w:val="32"/>
        </w:rPr>
        <w:t>（一）职能</w:t>
      </w:r>
    </w:p>
    <w:p w:rsidR="00891DBD" w:rsidRPr="004F053E" w:rsidRDefault="00891DBD" w:rsidP="00891DBD">
      <w:pPr>
        <w:ind w:firstLineChars="200" w:firstLine="640"/>
        <w:rPr>
          <w:rFonts w:ascii="仿宋" w:eastAsia="仿宋" w:hAnsi="仿宋"/>
          <w:sz w:val="32"/>
          <w:szCs w:val="32"/>
        </w:rPr>
      </w:pPr>
      <w:r w:rsidRPr="004F053E">
        <w:rPr>
          <w:rFonts w:ascii="仿宋" w:eastAsia="仿宋" w:hAnsi="仿宋" w:hint="eastAsia"/>
          <w:sz w:val="32"/>
          <w:szCs w:val="32"/>
        </w:rPr>
        <w:t>地方工作委员会是联盟各地的联络机构，负责联盟在本地区的全部业务与服务工作，原则上每个</w:t>
      </w:r>
      <w:r>
        <w:rPr>
          <w:rFonts w:ascii="仿宋" w:eastAsia="仿宋" w:hAnsi="仿宋" w:hint="eastAsia"/>
          <w:sz w:val="32"/>
          <w:szCs w:val="32"/>
        </w:rPr>
        <w:t>省市自治区、</w:t>
      </w:r>
      <w:r w:rsidRPr="004F053E">
        <w:rPr>
          <w:rFonts w:ascii="仿宋" w:eastAsia="仿宋" w:hAnsi="仿宋" w:hint="eastAsia"/>
          <w:sz w:val="32"/>
          <w:szCs w:val="32"/>
        </w:rPr>
        <w:t>地市只设一个工作委员会，申请成为省市自治区</w:t>
      </w:r>
      <w:r>
        <w:rPr>
          <w:rFonts w:ascii="仿宋" w:eastAsia="仿宋" w:hAnsi="仿宋" w:hint="eastAsia"/>
          <w:sz w:val="32"/>
          <w:szCs w:val="32"/>
        </w:rPr>
        <w:t>、地</w:t>
      </w:r>
      <w:r w:rsidRPr="004F053E">
        <w:rPr>
          <w:rFonts w:ascii="仿宋" w:eastAsia="仿宋" w:hAnsi="仿宋" w:hint="eastAsia"/>
          <w:sz w:val="32"/>
          <w:szCs w:val="32"/>
        </w:rPr>
        <w:t>级</w:t>
      </w:r>
      <w:r>
        <w:rPr>
          <w:rFonts w:ascii="仿宋" w:eastAsia="仿宋" w:hAnsi="仿宋" w:hint="eastAsia"/>
          <w:sz w:val="32"/>
          <w:szCs w:val="32"/>
        </w:rPr>
        <w:t>市</w:t>
      </w:r>
      <w:r w:rsidRPr="004F053E">
        <w:rPr>
          <w:rFonts w:ascii="仿宋" w:eastAsia="仿宋" w:hAnsi="仿宋" w:hint="eastAsia"/>
          <w:sz w:val="32"/>
          <w:szCs w:val="32"/>
        </w:rPr>
        <w:t>的地方工作委员会，须按联盟相关规定履行申报手续。</w:t>
      </w:r>
    </w:p>
    <w:p w:rsidR="00891DBD" w:rsidRDefault="00891DBD" w:rsidP="00891DBD">
      <w:pPr>
        <w:ind w:firstLineChars="200" w:firstLine="640"/>
        <w:rPr>
          <w:rFonts w:ascii="仿宋" w:eastAsia="仿宋" w:hAnsi="仿宋"/>
          <w:sz w:val="32"/>
          <w:szCs w:val="32"/>
        </w:rPr>
      </w:pPr>
      <w:r>
        <w:rPr>
          <w:rFonts w:ascii="仿宋" w:eastAsia="仿宋" w:hAnsi="仿宋" w:hint="eastAsia"/>
          <w:sz w:val="32"/>
          <w:szCs w:val="32"/>
        </w:rPr>
        <w:t>（二）</w:t>
      </w:r>
      <w:r w:rsidRPr="004F053E">
        <w:rPr>
          <w:rFonts w:ascii="仿宋" w:eastAsia="仿宋" w:hAnsi="仿宋" w:hint="eastAsia"/>
          <w:sz w:val="32"/>
          <w:szCs w:val="32"/>
        </w:rPr>
        <w:t>机构要求</w:t>
      </w:r>
    </w:p>
    <w:p w:rsidR="00891DBD" w:rsidRPr="004F053E" w:rsidRDefault="00891DBD" w:rsidP="00891DBD">
      <w:pPr>
        <w:ind w:firstLineChars="200" w:firstLine="640"/>
        <w:rPr>
          <w:rFonts w:ascii="仿宋" w:eastAsia="仿宋" w:hAnsi="仿宋"/>
          <w:sz w:val="32"/>
          <w:szCs w:val="32"/>
        </w:rPr>
      </w:pPr>
      <w:r w:rsidRPr="004F053E">
        <w:rPr>
          <w:rFonts w:ascii="仿宋" w:eastAsia="仿宋" w:hAnsi="仿宋" w:hint="eastAsia"/>
          <w:sz w:val="32"/>
          <w:szCs w:val="32"/>
        </w:rPr>
        <w:t>高度认同联盟理念，无任何犯罪与严重违规记录，资源整合能力强，严格遵守联盟章程和规章制度，服从联盟总部管理的地方龙头企业、涉农科研院所、行业协会等。</w:t>
      </w:r>
    </w:p>
    <w:p w:rsidR="00891DBD" w:rsidRDefault="00891DBD" w:rsidP="00891DBD">
      <w:pPr>
        <w:ind w:firstLineChars="200" w:firstLine="640"/>
        <w:rPr>
          <w:rFonts w:ascii="仿宋" w:eastAsia="仿宋" w:hAnsi="仿宋"/>
          <w:sz w:val="32"/>
          <w:szCs w:val="32"/>
        </w:rPr>
      </w:pPr>
      <w:r>
        <w:rPr>
          <w:rFonts w:ascii="仿宋" w:eastAsia="仿宋" w:hAnsi="仿宋" w:hint="eastAsia"/>
          <w:sz w:val="32"/>
          <w:szCs w:val="32"/>
        </w:rPr>
        <w:lastRenderedPageBreak/>
        <w:t>（三）</w:t>
      </w:r>
      <w:r w:rsidRPr="004F053E">
        <w:rPr>
          <w:rFonts w:ascii="仿宋" w:eastAsia="仿宋" w:hAnsi="仿宋" w:hint="eastAsia"/>
          <w:sz w:val="32"/>
          <w:szCs w:val="32"/>
        </w:rPr>
        <w:t>办公条件</w:t>
      </w:r>
    </w:p>
    <w:p w:rsidR="00891DBD" w:rsidRPr="004F053E" w:rsidRDefault="00891DBD" w:rsidP="00891DBD">
      <w:pPr>
        <w:ind w:firstLineChars="200" w:firstLine="640"/>
        <w:rPr>
          <w:rFonts w:ascii="仿宋" w:eastAsia="仿宋" w:hAnsi="仿宋"/>
          <w:sz w:val="32"/>
          <w:szCs w:val="32"/>
        </w:rPr>
      </w:pPr>
      <w:r w:rsidRPr="004F053E">
        <w:rPr>
          <w:rFonts w:ascii="仿宋" w:eastAsia="仿宋" w:hAnsi="仿宋" w:hint="eastAsia"/>
          <w:sz w:val="32"/>
          <w:szCs w:val="32"/>
        </w:rPr>
        <w:t>拥有</w:t>
      </w:r>
      <w:r>
        <w:rPr>
          <w:rFonts w:ascii="仿宋" w:eastAsia="仿宋" w:hAnsi="仿宋" w:hint="eastAsia"/>
          <w:sz w:val="32"/>
          <w:szCs w:val="32"/>
        </w:rPr>
        <w:t>固定</w:t>
      </w:r>
      <w:r w:rsidRPr="004F053E">
        <w:rPr>
          <w:rFonts w:ascii="仿宋" w:eastAsia="仿宋" w:hAnsi="仿宋" w:hint="eastAsia"/>
          <w:sz w:val="32"/>
          <w:szCs w:val="32"/>
        </w:rPr>
        <w:t>的办公场地，软硬件设施完善。</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（四）</w:t>
      </w:r>
      <w:r w:rsidRPr="004F053E">
        <w:rPr>
          <w:rFonts w:ascii="仿宋" w:eastAsia="仿宋" w:hAnsi="仿宋" w:hint="eastAsia"/>
          <w:sz w:val="32"/>
          <w:szCs w:val="32"/>
        </w:rPr>
        <w:t>管理流程</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1）</w:t>
      </w:r>
      <w:r w:rsidRPr="004F053E">
        <w:rPr>
          <w:rFonts w:ascii="仿宋" w:eastAsia="仿宋" w:hAnsi="仿宋" w:hint="eastAsia"/>
          <w:sz w:val="32"/>
          <w:szCs w:val="32"/>
        </w:rPr>
        <w:t>成为联盟常务理事单位以上的机构；</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2）</w:t>
      </w:r>
      <w:r w:rsidRPr="004F053E">
        <w:rPr>
          <w:rFonts w:ascii="仿宋" w:eastAsia="仿宋" w:hAnsi="仿宋" w:hint="eastAsia"/>
          <w:sz w:val="32"/>
          <w:szCs w:val="32"/>
        </w:rPr>
        <w:t>填写</w:t>
      </w:r>
      <w:r w:rsidRPr="00632678">
        <w:rPr>
          <w:rFonts w:ascii="仿宋" w:eastAsia="仿宋" w:hAnsi="仿宋" w:cs="Arial" w:hint="eastAsia"/>
          <w:sz w:val="32"/>
          <w:szCs w:val="32"/>
        </w:rPr>
        <w:t>(省市自治区、地市)</w:t>
      </w:r>
      <w:r w:rsidRPr="004F053E">
        <w:rPr>
          <w:rFonts w:ascii="仿宋" w:eastAsia="仿宋" w:hAnsi="仿宋" w:hint="eastAsia"/>
          <w:sz w:val="32"/>
          <w:szCs w:val="32"/>
        </w:rPr>
        <w:t>地区工作委员会申报表；</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3）</w:t>
      </w:r>
      <w:r w:rsidRPr="004F053E">
        <w:rPr>
          <w:rFonts w:ascii="仿宋" w:eastAsia="仿宋" w:hAnsi="仿宋" w:hint="eastAsia"/>
          <w:sz w:val="32"/>
          <w:szCs w:val="32"/>
        </w:rPr>
        <w:t>联盟秘书处审核申报表，并赴申报单位进行实地考察；</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4）</w:t>
      </w:r>
      <w:r w:rsidRPr="004F053E">
        <w:rPr>
          <w:rFonts w:ascii="仿宋" w:eastAsia="仿宋" w:hAnsi="仿宋" w:hint="eastAsia"/>
          <w:sz w:val="32"/>
          <w:szCs w:val="32"/>
        </w:rPr>
        <w:t>与联盟签署合作协议并缴纳</w:t>
      </w:r>
      <w:r>
        <w:rPr>
          <w:rFonts w:ascii="仿宋" w:eastAsia="仿宋" w:hAnsi="仿宋" w:hint="eastAsia"/>
          <w:sz w:val="32"/>
          <w:szCs w:val="32"/>
        </w:rPr>
        <w:t>技术服务费</w:t>
      </w:r>
      <w:r w:rsidRPr="004F053E">
        <w:rPr>
          <w:rFonts w:ascii="仿宋" w:eastAsia="仿宋" w:hAnsi="仿宋" w:hint="eastAsia"/>
          <w:sz w:val="32"/>
          <w:szCs w:val="32"/>
        </w:rPr>
        <w:t>；</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5）</w:t>
      </w:r>
      <w:r w:rsidRPr="004F053E">
        <w:rPr>
          <w:rFonts w:ascii="仿宋" w:eastAsia="仿宋" w:hAnsi="仿宋" w:hint="eastAsia"/>
          <w:sz w:val="32"/>
          <w:szCs w:val="32"/>
        </w:rPr>
        <w:t>接受联盟的岗前培训；</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6）</w:t>
      </w:r>
      <w:r w:rsidRPr="004F053E">
        <w:rPr>
          <w:rFonts w:ascii="仿宋" w:eastAsia="仿宋" w:hAnsi="仿宋" w:hint="eastAsia"/>
          <w:sz w:val="32"/>
          <w:szCs w:val="32"/>
        </w:rPr>
        <w:t>挂牌开展联盟交办的各项工作；</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7）</w:t>
      </w:r>
      <w:r w:rsidRPr="004F053E">
        <w:rPr>
          <w:rFonts w:ascii="仿宋" w:eastAsia="仿宋" w:hAnsi="仿宋" w:hint="eastAsia"/>
          <w:sz w:val="32"/>
          <w:szCs w:val="32"/>
        </w:rPr>
        <w:t>地区工作委员会的工作人员需在联盟总部备案；</w:t>
      </w:r>
    </w:p>
    <w:p w:rsidR="00891DBD" w:rsidRPr="004F053E" w:rsidRDefault="00891DBD" w:rsidP="00891DBD">
      <w:pPr>
        <w:ind w:firstLineChars="200" w:firstLine="640"/>
        <w:rPr>
          <w:rFonts w:ascii="仿宋" w:eastAsia="仿宋" w:hAnsi="仿宋"/>
          <w:sz w:val="32"/>
          <w:szCs w:val="32"/>
        </w:rPr>
      </w:pPr>
      <w:r>
        <w:rPr>
          <w:rFonts w:ascii="仿宋" w:eastAsia="仿宋" w:hAnsi="仿宋" w:hint="eastAsia"/>
          <w:sz w:val="32"/>
          <w:szCs w:val="32"/>
        </w:rPr>
        <w:t>8）</w:t>
      </w:r>
      <w:r w:rsidRPr="004F053E">
        <w:rPr>
          <w:rFonts w:ascii="仿宋" w:eastAsia="仿宋" w:hAnsi="仿宋" w:hint="eastAsia"/>
          <w:sz w:val="32"/>
          <w:szCs w:val="32"/>
        </w:rPr>
        <w:t>合作期限暂定</w:t>
      </w:r>
      <w:r>
        <w:rPr>
          <w:rFonts w:ascii="仿宋" w:eastAsia="仿宋" w:hAnsi="仿宋" w:hint="eastAsia"/>
          <w:sz w:val="32"/>
          <w:szCs w:val="32"/>
        </w:rPr>
        <w:t>三</w:t>
      </w:r>
      <w:r w:rsidRPr="004F053E">
        <w:rPr>
          <w:rFonts w:ascii="仿宋" w:eastAsia="仿宋" w:hAnsi="仿宋" w:hint="eastAsia"/>
          <w:sz w:val="32"/>
          <w:szCs w:val="32"/>
        </w:rPr>
        <w:t>年，合作期满，双方另行签署合作协议。</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3.</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 xml:space="preserve">工作委员会在任期届满前6个月，应向农加工联盟呈报委员会换届方案的请示，提交委员会或常务委员会会议纪要〔主要内容包括下届委员会的规模、人选条件、名额分配等〕，在经农加工联盟批复后，方能开展换届的筹备工作。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4.在换届会议召开前60天，应向农加工联盟报送召开换届大会的请示及有关材料。农加工联盟对会议文件及负责</w:t>
      </w:r>
      <w:r>
        <w:rPr>
          <w:rFonts w:ascii="仿宋" w:eastAsia="仿宋" w:hAnsi="仿宋" w:cs="Arial" w:hint="eastAsia"/>
          <w:sz w:val="32"/>
          <w:szCs w:val="32"/>
        </w:rPr>
        <w:lastRenderedPageBreak/>
        <w:t xml:space="preserve">人人选，按规定进行审核。届内对负责人一般不予变更，必须变更的，报农加工联盟进行审核，同意后方可变更。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5.</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 xml:space="preserve">工作委员会应按要求在换届会议后30天之内，上报会议有关文件，由农加工联盟按规定办理有关登记、变更手续。 </w:t>
      </w:r>
    </w:p>
    <w:p w:rsidR="00891DBD" w:rsidRDefault="00891DBD" w:rsidP="00891DBD">
      <w:pPr>
        <w:pStyle w:val="1"/>
        <w:numPr>
          <w:ilvl w:val="0"/>
          <w:numId w:val="4"/>
        </w:numPr>
        <w:spacing w:line="360" w:lineRule="auto"/>
        <w:ind w:firstLineChars="0"/>
        <w:rPr>
          <w:rFonts w:ascii="黑体" w:eastAsia="黑体" w:hAnsi="黑体" w:cs="Arial"/>
          <w:sz w:val="32"/>
          <w:szCs w:val="32"/>
        </w:rPr>
      </w:pPr>
      <w:r>
        <w:rPr>
          <w:rFonts w:ascii="黑体" w:eastAsia="黑体" w:hAnsi="黑体" w:cs="Arial" w:hint="eastAsia"/>
          <w:sz w:val="32"/>
          <w:szCs w:val="32"/>
        </w:rPr>
        <w:t xml:space="preserve">工作任务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1.执行农加工联盟的决议，承担并完成农加工联盟安排的任务；</w:t>
      </w:r>
    </w:p>
    <w:p w:rsidR="00891DBD" w:rsidRPr="00FF3FE8" w:rsidRDefault="00891DBD" w:rsidP="00891DBD">
      <w:pPr>
        <w:spacing w:line="360" w:lineRule="auto"/>
        <w:ind w:firstLineChars="200" w:firstLine="640"/>
        <w:rPr>
          <w:rFonts w:ascii="仿宋" w:eastAsia="仿宋" w:hAnsi="仿宋" w:cs="Arial"/>
          <w:sz w:val="32"/>
          <w:szCs w:val="32"/>
        </w:rPr>
      </w:pPr>
      <w:r>
        <w:rPr>
          <w:rFonts w:ascii="仿宋" w:eastAsia="仿宋" w:hAnsi="仿宋" w:hint="eastAsia"/>
          <w:sz w:val="32"/>
          <w:szCs w:val="32"/>
        </w:rPr>
        <w:t>2.</w:t>
      </w:r>
      <w:r w:rsidRPr="004F053E">
        <w:rPr>
          <w:rFonts w:ascii="仿宋" w:eastAsia="仿宋" w:hAnsi="仿宋" w:hint="eastAsia"/>
          <w:sz w:val="32"/>
          <w:szCs w:val="32"/>
        </w:rPr>
        <w:t>按照联盟会员管理办法，吸纳所在区域符合条件的生产基地、龙头企业、科研院所、行业组织成为联盟的成员单位，包括会员、理事、常务理事、副主席。</w:t>
      </w:r>
    </w:p>
    <w:p w:rsidR="00891DBD" w:rsidRPr="00FF3FE8"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3.</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工作委员会可以开展联盟平台所有业务板块在所属地区的对接与服务工作。</w:t>
      </w:r>
      <w:r w:rsidRPr="004F053E">
        <w:rPr>
          <w:rFonts w:ascii="仿宋" w:eastAsia="仿宋" w:hAnsi="仿宋" w:hint="eastAsia"/>
          <w:sz w:val="32"/>
          <w:szCs w:val="32"/>
        </w:rPr>
        <w:t>根据地区产业需要，全面嫁接联盟平台聚集的基地认证、技术推广、溯源品控、项目申报、论坛申请、基金设立、渠道对接、跨境电商、产业园建设等各类资源，全面做好为联盟成员服务，为产业发展服务的各项工作。</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4.</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工作委员会经农加工联盟授权可在本地区内发展联盟会员，会费打入联盟指定账号，会籍由各联盟统一管理。</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lastRenderedPageBreak/>
        <w:t>5.</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 xml:space="preserve">工作委员会所有服务收益奖励，以双方签署的合作协议为准。  </w:t>
      </w:r>
    </w:p>
    <w:p w:rsidR="00891DBD" w:rsidRPr="00FF3FE8" w:rsidRDefault="00891DBD" w:rsidP="00891DBD">
      <w:pPr>
        <w:ind w:firstLineChars="200" w:firstLine="640"/>
        <w:rPr>
          <w:rFonts w:ascii="仿宋" w:eastAsia="仿宋" w:hAnsi="仿宋"/>
          <w:sz w:val="32"/>
          <w:szCs w:val="32"/>
        </w:rPr>
      </w:pPr>
      <w:r>
        <w:rPr>
          <w:rFonts w:ascii="仿宋" w:eastAsia="仿宋" w:hAnsi="仿宋" w:hint="eastAsia"/>
          <w:sz w:val="32"/>
          <w:szCs w:val="32"/>
        </w:rPr>
        <w:t>6.</w:t>
      </w:r>
      <w:r w:rsidRPr="004F053E">
        <w:rPr>
          <w:rFonts w:ascii="仿宋" w:eastAsia="仿宋" w:hAnsi="仿宋" w:hint="eastAsia"/>
          <w:sz w:val="32"/>
          <w:szCs w:val="32"/>
        </w:rPr>
        <w:t>完成联盟交办的其他工作。</w:t>
      </w:r>
    </w:p>
    <w:p w:rsidR="00891DBD" w:rsidRDefault="00891DBD" w:rsidP="00891DBD">
      <w:pPr>
        <w:spacing w:line="360" w:lineRule="auto"/>
        <w:rPr>
          <w:rFonts w:ascii="黑体" w:eastAsia="黑体" w:hAnsi="黑体" w:cs="Arial"/>
          <w:sz w:val="32"/>
          <w:szCs w:val="32"/>
        </w:rPr>
      </w:pPr>
      <w:r>
        <w:rPr>
          <w:rFonts w:ascii="仿宋" w:eastAsia="仿宋" w:hAnsi="仿宋" w:cs="Arial" w:hint="eastAsia"/>
          <w:sz w:val="32"/>
          <w:szCs w:val="32"/>
        </w:rPr>
        <w:t xml:space="preserve">   </w:t>
      </w:r>
      <w:r>
        <w:rPr>
          <w:rFonts w:ascii="黑体" w:eastAsia="黑体" w:hAnsi="黑体" w:cs="Arial" w:hint="eastAsia"/>
          <w:sz w:val="32"/>
          <w:szCs w:val="32"/>
        </w:rPr>
        <w:t xml:space="preserve"> 五、其他</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1.</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工作委员会办事机构工作人员的行政、人事、党务等接受挂靠单位的管理。</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2.</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工作委员会如因工作需要加盖印章的须向农加工联盟秘书处提出申请。</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3.</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工作委员会的活动所产生的法律后果由自行承担。</w:t>
      </w:r>
    </w:p>
    <w:p w:rsidR="00891DBD" w:rsidRDefault="00891DBD" w:rsidP="00891DBD">
      <w:pPr>
        <w:spacing w:line="360" w:lineRule="auto"/>
        <w:ind w:firstLineChars="200" w:firstLine="640"/>
        <w:rPr>
          <w:rFonts w:ascii="黑体" w:eastAsia="黑体" w:hAnsi="黑体" w:cs="Arial"/>
          <w:sz w:val="32"/>
          <w:szCs w:val="32"/>
        </w:rPr>
      </w:pPr>
      <w:r>
        <w:rPr>
          <w:rFonts w:ascii="黑体" w:eastAsia="黑体" w:hAnsi="黑体" w:cs="Arial" w:hint="eastAsia"/>
          <w:sz w:val="32"/>
          <w:szCs w:val="32"/>
        </w:rPr>
        <w:t xml:space="preserve">六、终止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1.</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工作委员会有下列情形之一的，农加工联盟根据有关规定予以撤销或注销；</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（1）</w:t>
      </w:r>
      <w:r w:rsidRPr="00632678">
        <w:rPr>
          <w:rFonts w:ascii="仿宋" w:eastAsia="仿宋" w:hAnsi="仿宋" w:cs="Arial" w:hint="eastAsia"/>
          <w:sz w:val="32"/>
          <w:szCs w:val="32"/>
        </w:rPr>
        <w:t>(省市自治区、地市)</w:t>
      </w:r>
      <w:r>
        <w:rPr>
          <w:rFonts w:ascii="仿宋" w:eastAsia="仿宋" w:hAnsi="仿宋" w:cs="Arial" w:hint="eastAsia"/>
          <w:sz w:val="32"/>
          <w:szCs w:val="32"/>
        </w:rPr>
        <w:t xml:space="preserve">工作委员会完成任务或自行解散或由于分立、合并等原因需要注销的；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 xml:space="preserve">（2）进行违法活动造成严重后果的；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（3）长期未能开展活动、未能完成农加工联盟委托任务的；</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 xml:space="preserve">（4）其他原因依法终止的。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2.</w:t>
      </w:r>
      <w:r w:rsidRPr="00632678">
        <w:rPr>
          <w:rFonts w:ascii="仿宋" w:eastAsia="仿宋" w:hAnsi="仿宋" w:cs="Arial" w:hint="eastAsia"/>
          <w:sz w:val="32"/>
          <w:szCs w:val="32"/>
        </w:rPr>
        <w:t xml:space="preserve"> (省市自治区、地市)</w:t>
      </w:r>
      <w:r>
        <w:rPr>
          <w:rFonts w:ascii="仿宋" w:eastAsia="仿宋" w:hAnsi="仿宋" w:cs="Arial" w:hint="eastAsia"/>
          <w:sz w:val="32"/>
          <w:szCs w:val="32"/>
        </w:rPr>
        <w:t>工作委员会终止前，须妥善处</w:t>
      </w:r>
      <w:r>
        <w:rPr>
          <w:rFonts w:ascii="仿宋" w:eastAsia="仿宋" w:hAnsi="仿宋" w:cs="Arial" w:hint="eastAsia"/>
          <w:sz w:val="32"/>
          <w:szCs w:val="32"/>
        </w:rPr>
        <w:lastRenderedPageBreak/>
        <w:t>理善后事宜。</w:t>
      </w:r>
    </w:p>
    <w:p w:rsidR="00891DBD" w:rsidRDefault="00891DBD" w:rsidP="00891DBD">
      <w:pPr>
        <w:spacing w:line="360" w:lineRule="auto"/>
        <w:ind w:firstLineChars="200" w:firstLine="640"/>
        <w:rPr>
          <w:rFonts w:ascii="黑体" w:eastAsia="黑体" w:hAnsi="黑体" w:cs="Arial"/>
          <w:sz w:val="32"/>
          <w:szCs w:val="32"/>
        </w:rPr>
      </w:pPr>
      <w:r>
        <w:rPr>
          <w:rFonts w:ascii="黑体" w:eastAsia="黑体" w:hAnsi="黑体" w:cs="Arial" w:hint="eastAsia"/>
          <w:sz w:val="32"/>
          <w:szCs w:val="32"/>
        </w:rPr>
        <w:t xml:space="preserve">七、附则 </w:t>
      </w:r>
    </w:p>
    <w:p w:rsidR="00891DBD" w:rsidRDefault="00891DBD" w:rsidP="00891DBD">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 xml:space="preserve">1.本管理办法经全国农产品加工产业农加工联盟核准之日起生效实施。 </w:t>
      </w:r>
    </w:p>
    <w:p w:rsidR="00891DBD" w:rsidRDefault="00891DBD" w:rsidP="00891DBD">
      <w:pPr>
        <w:ind w:firstLineChars="200" w:firstLine="640"/>
        <w:rPr>
          <w:rFonts w:ascii="仿宋" w:eastAsia="仿宋" w:hAnsi="仿宋" w:cs="Arial"/>
          <w:sz w:val="32"/>
          <w:szCs w:val="32"/>
        </w:rPr>
      </w:pPr>
      <w:r>
        <w:rPr>
          <w:rFonts w:ascii="仿宋" w:eastAsia="仿宋" w:hAnsi="仿宋" w:cs="Arial" w:hint="eastAsia"/>
          <w:sz w:val="32"/>
          <w:szCs w:val="32"/>
        </w:rPr>
        <w:t>2.本管理办法中未尽事项，由</w:t>
      </w:r>
      <w:r>
        <w:rPr>
          <w:rFonts w:ascii="仿宋" w:eastAsia="仿宋" w:hAnsi="仿宋" w:hint="eastAsia"/>
          <w:sz w:val="32"/>
          <w:szCs w:val="32"/>
        </w:rPr>
        <w:t>全国农产品加工产业农加工联盟秘书处</w:t>
      </w:r>
      <w:r>
        <w:rPr>
          <w:rFonts w:ascii="仿宋" w:eastAsia="仿宋" w:hAnsi="仿宋" w:cs="Arial" w:hint="eastAsia"/>
          <w:sz w:val="32"/>
          <w:szCs w:val="32"/>
        </w:rPr>
        <w:t>负责解释。</w:t>
      </w:r>
    </w:p>
    <w:p w:rsidR="00DB28AF" w:rsidRPr="00891DBD" w:rsidRDefault="00DB28AF" w:rsidP="000F5CCF">
      <w:pPr>
        <w:ind w:firstLineChars="1900" w:firstLine="5320"/>
        <w:rPr>
          <w:sz w:val="28"/>
          <w:szCs w:val="28"/>
        </w:rPr>
      </w:pPr>
    </w:p>
    <w:p w:rsidR="00002EE8" w:rsidRPr="00DB28AF" w:rsidRDefault="00002EE8" w:rsidP="00DB28AF"/>
    <w:sectPr w:rsidR="00002EE8" w:rsidRPr="00DB28AF" w:rsidSect="00C910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150" w:rsidRDefault="00EC4150" w:rsidP="00D02AC6">
      <w:r>
        <w:separator/>
      </w:r>
    </w:p>
  </w:endnote>
  <w:endnote w:type="continuationSeparator" w:id="0">
    <w:p w:rsidR="00EC4150" w:rsidRDefault="00EC4150" w:rsidP="00D02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美黑简体">
    <w:altName w:val="Malgun Gothic Semilight"/>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68" w:rsidRDefault="002A2A68">
    <w:pPr>
      <w:pStyle w:val="a4"/>
    </w:pPr>
    <w:r>
      <w:rPr>
        <w:rFonts w:hint="eastAsia"/>
      </w:rPr>
      <w:t>通讯</w:t>
    </w:r>
    <w:r>
      <w:t>地址</w:t>
    </w:r>
    <w:r>
      <w:rPr>
        <w:rFonts w:hint="eastAsia"/>
      </w:rPr>
      <w:t>：</w:t>
    </w:r>
    <w:r>
      <w:t>北京市大兴区凉水河二街</w:t>
    </w:r>
    <w:r>
      <w:rPr>
        <w:rFonts w:hint="eastAsia"/>
      </w:rPr>
      <w:t>8</w:t>
    </w:r>
    <w:r>
      <w:rPr>
        <w:rFonts w:hint="eastAsia"/>
      </w:rPr>
      <w:t>号（大族企业湾）</w:t>
    </w:r>
    <w:r>
      <w:rPr>
        <w:rFonts w:hint="eastAsia"/>
      </w:rPr>
      <w:t>5</w:t>
    </w:r>
    <w:r>
      <w:rPr>
        <w:rFonts w:hint="eastAsia"/>
      </w:rPr>
      <w:t>栋</w:t>
    </w:r>
    <w:r>
      <w:rPr>
        <w:rFonts w:hint="eastAsia"/>
      </w:rPr>
      <w:t>B</w:t>
    </w:r>
    <w:r>
      <w:rPr>
        <w:rFonts w:hint="eastAsia"/>
      </w:rPr>
      <w:t>座</w:t>
    </w:r>
    <w:r w:rsidR="0022271B">
      <w:rPr>
        <w:rFonts w:hint="eastAsia"/>
      </w:rPr>
      <w:t>3</w:t>
    </w:r>
    <w:r w:rsidR="0022271B">
      <w:rPr>
        <w:rFonts w:hint="eastAsia"/>
      </w:rPr>
      <w:t>层</w:t>
    </w:r>
  </w:p>
  <w:p w:rsidR="002A2A68" w:rsidRDefault="002A2A68">
    <w:pPr>
      <w:pStyle w:val="a4"/>
    </w:pPr>
    <w:r>
      <w:rPr>
        <w:rFonts w:hint="eastAsia"/>
      </w:rPr>
      <w:t>联系电话：</w:t>
    </w:r>
    <w:r>
      <w:rPr>
        <w:rFonts w:hint="eastAsia"/>
      </w:rPr>
      <w:t xml:space="preserve">010-87925402   </w:t>
    </w:r>
    <w:r>
      <w:rPr>
        <w:rFonts w:hint="eastAsia"/>
      </w:rPr>
      <w:t>网址：</w:t>
    </w:r>
    <w:r>
      <w:t>http://www.chinaapda.org</w:t>
    </w:r>
    <w:r>
      <w:rPr>
        <w:rFonts w:hint="eastAsia"/>
      </w:rPr>
      <w:t>/</w:t>
    </w:r>
  </w:p>
  <w:p w:rsidR="002A2A68" w:rsidRPr="002A2A68" w:rsidRDefault="002A2A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150" w:rsidRDefault="00EC4150" w:rsidP="00D02AC6">
      <w:r>
        <w:separator/>
      </w:r>
    </w:p>
  </w:footnote>
  <w:footnote w:type="continuationSeparator" w:id="0">
    <w:p w:rsidR="00EC4150" w:rsidRDefault="00EC4150" w:rsidP="00D02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A1" w:rsidRPr="0022271B" w:rsidRDefault="00DF5AA1" w:rsidP="0022141B">
    <w:pPr>
      <w:pStyle w:val="a3"/>
      <w:pBdr>
        <w:bottom w:val="single" w:sz="6" w:space="31" w:color="auto"/>
      </w:pBdr>
      <w:rPr>
        <w:color w:val="FF0000"/>
      </w:rPr>
    </w:pPr>
    <w:r>
      <w:rPr>
        <w:rFonts w:ascii="黑体" w:eastAsia="黑体" w:hAnsi="华文中宋"/>
        <w:noProof/>
        <w:sz w:val="40"/>
        <w:szCs w:val="28"/>
      </w:rPr>
      <w:drawing>
        <wp:inline distT="0" distB="0" distL="0" distR="0">
          <wp:extent cx="514350" cy="423582"/>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423582"/>
                  </a:xfrm>
                  <a:prstGeom prst="rect">
                    <a:avLst/>
                  </a:prstGeom>
                  <a:noFill/>
                  <a:ln>
                    <a:noFill/>
                  </a:ln>
                </pic:spPr>
              </pic:pic>
            </a:graphicData>
          </a:graphic>
        </wp:inline>
      </w:drawing>
    </w:r>
    <w:r w:rsidR="00AD3DE8">
      <w:rPr>
        <w:rFonts w:ascii="方正美黑简体" w:eastAsia="方正美黑简体" w:hAnsi="华文中宋" w:hint="eastAsia"/>
        <w:b/>
        <w:color w:val="FF0000"/>
        <w:sz w:val="52"/>
        <w:szCs w:val="52"/>
        <w:shd w:val="clear" w:color="auto" w:fill="FFFFFF"/>
      </w:rPr>
      <w:t xml:space="preserve"> </w:t>
    </w:r>
    <w:r w:rsidRPr="00AD3DE8">
      <w:rPr>
        <w:rFonts w:ascii="方正美黑简体" w:eastAsia="方正美黑简体" w:hAnsi="华文中宋" w:hint="eastAsia"/>
        <w:b/>
        <w:color w:val="FF0000"/>
        <w:sz w:val="52"/>
        <w:szCs w:val="52"/>
        <w:shd w:val="clear" w:color="auto" w:fill="FFFFFF"/>
      </w:rPr>
      <w:t>全国农产品加工产业发展联盟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4pt;height:34.5pt;visibility:visible;mso-wrap-style:square" o:bullet="t">
        <v:imagedata r:id="rId1" o:title=""/>
      </v:shape>
    </w:pict>
  </w:numPicBullet>
  <w:abstractNum w:abstractNumId="0">
    <w:nsid w:val="1B3B6394"/>
    <w:multiLevelType w:val="hybridMultilevel"/>
    <w:tmpl w:val="07E05726"/>
    <w:lvl w:ilvl="0" w:tplc="A94A19DE">
      <w:start w:val="1"/>
      <w:numFmt w:val="bullet"/>
      <w:lvlText w:val=""/>
      <w:lvlPicBulletId w:val="0"/>
      <w:lvlJc w:val="left"/>
      <w:pPr>
        <w:tabs>
          <w:tab w:val="num" w:pos="420"/>
        </w:tabs>
        <w:ind w:left="420" w:firstLine="0"/>
      </w:pPr>
      <w:rPr>
        <w:rFonts w:ascii="Symbol" w:hAnsi="Symbol" w:hint="default"/>
      </w:rPr>
    </w:lvl>
    <w:lvl w:ilvl="1" w:tplc="CFE04FAC" w:tentative="1">
      <w:start w:val="1"/>
      <w:numFmt w:val="bullet"/>
      <w:lvlText w:val=""/>
      <w:lvlJc w:val="left"/>
      <w:pPr>
        <w:tabs>
          <w:tab w:val="num" w:pos="840"/>
        </w:tabs>
        <w:ind w:left="840" w:firstLine="0"/>
      </w:pPr>
      <w:rPr>
        <w:rFonts w:ascii="Symbol" w:hAnsi="Symbol" w:hint="default"/>
      </w:rPr>
    </w:lvl>
    <w:lvl w:ilvl="2" w:tplc="F0EC3052" w:tentative="1">
      <w:start w:val="1"/>
      <w:numFmt w:val="bullet"/>
      <w:lvlText w:val=""/>
      <w:lvlJc w:val="left"/>
      <w:pPr>
        <w:tabs>
          <w:tab w:val="num" w:pos="1260"/>
        </w:tabs>
        <w:ind w:left="1260" w:firstLine="0"/>
      </w:pPr>
      <w:rPr>
        <w:rFonts w:ascii="Symbol" w:hAnsi="Symbol" w:hint="default"/>
      </w:rPr>
    </w:lvl>
    <w:lvl w:ilvl="3" w:tplc="19FAE7EC" w:tentative="1">
      <w:start w:val="1"/>
      <w:numFmt w:val="bullet"/>
      <w:lvlText w:val=""/>
      <w:lvlJc w:val="left"/>
      <w:pPr>
        <w:tabs>
          <w:tab w:val="num" w:pos="1680"/>
        </w:tabs>
        <w:ind w:left="1680" w:firstLine="0"/>
      </w:pPr>
      <w:rPr>
        <w:rFonts w:ascii="Symbol" w:hAnsi="Symbol" w:hint="default"/>
      </w:rPr>
    </w:lvl>
    <w:lvl w:ilvl="4" w:tplc="E43098DE" w:tentative="1">
      <w:start w:val="1"/>
      <w:numFmt w:val="bullet"/>
      <w:lvlText w:val=""/>
      <w:lvlJc w:val="left"/>
      <w:pPr>
        <w:tabs>
          <w:tab w:val="num" w:pos="2100"/>
        </w:tabs>
        <w:ind w:left="2100" w:firstLine="0"/>
      </w:pPr>
      <w:rPr>
        <w:rFonts w:ascii="Symbol" w:hAnsi="Symbol" w:hint="default"/>
      </w:rPr>
    </w:lvl>
    <w:lvl w:ilvl="5" w:tplc="202EC730" w:tentative="1">
      <w:start w:val="1"/>
      <w:numFmt w:val="bullet"/>
      <w:lvlText w:val=""/>
      <w:lvlJc w:val="left"/>
      <w:pPr>
        <w:tabs>
          <w:tab w:val="num" w:pos="2520"/>
        </w:tabs>
        <w:ind w:left="2520" w:firstLine="0"/>
      </w:pPr>
      <w:rPr>
        <w:rFonts w:ascii="Symbol" w:hAnsi="Symbol" w:hint="default"/>
      </w:rPr>
    </w:lvl>
    <w:lvl w:ilvl="6" w:tplc="2AD47AE4" w:tentative="1">
      <w:start w:val="1"/>
      <w:numFmt w:val="bullet"/>
      <w:lvlText w:val=""/>
      <w:lvlJc w:val="left"/>
      <w:pPr>
        <w:tabs>
          <w:tab w:val="num" w:pos="2940"/>
        </w:tabs>
        <w:ind w:left="2940" w:firstLine="0"/>
      </w:pPr>
      <w:rPr>
        <w:rFonts w:ascii="Symbol" w:hAnsi="Symbol" w:hint="default"/>
      </w:rPr>
    </w:lvl>
    <w:lvl w:ilvl="7" w:tplc="05447FF6" w:tentative="1">
      <w:start w:val="1"/>
      <w:numFmt w:val="bullet"/>
      <w:lvlText w:val=""/>
      <w:lvlJc w:val="left"/>
      <w:pPr>
        <w:tabs>
          <w:tab w:val="num" w:pos="3360"/>
        </w:tabs>
        <w:ind w:left="3360" w:firstLine="0"/>
      </w:pPr>
      <w:rPr>
        <w:rFonts w:ascii="Symbol" w:hAnsi="Symbol" w:hint="default"/>
      </w:rPr>
    </w:lvl>
    <w:lvl w:ilvl="8" w:tplc="A79EE6B2" w:tentative="1">
      <w:start w:val="1"/>
      <w:numFmt w:val="bullet"/>
      <w:lvlText w:val=""/>
      <w:lvlJc w:val="left"/>
      <w:pPr>
        <w:tabs>
          <w:tab w:val="num" w:pos="3780"/>
        </w:tabs>
        <w:ind w:left="3780" w:firstLine="0"/>
      </w:pPr>
      <w:rPr>
        <w:rFonts w:ascii="Symbol" w:hAnsi="Symbol" w:hint="default"/>
      </w:rPr>
    </w:lvl>
  </w:abstractNum>
  <w:abstractNum w:abstractNumId="1">
    <w:nsid w:val="1DC65E58"/>
    <w:multiLevelType w:val="hybridMultilevel"/>
    <w:tmpl w:val="36BEA152"/>
    <w:lvl w:ilvl="0" w:tplc="6E3EA772">
      <w:start w:val="1"/>
      <w:numFmt w:val="bullet"/>
      <w:lvlText w:val=""/>
      <w:lvlPicBulletId w:val="0"/>
      <w:lvlJc w:val="left"/>
      <w:pPr>
        <w:tabs>
          <w:tab w:val="num" w:pos="420"/>
        </w:tabs>
        <w:ind w:left="420" w:firstLine="0"/>
      </w:pPr>
      <w:rPr>
        <w:rFonts w:ascii="Symbol" w:hAnsi="Symbol" w:hint="default"/>
      </w:rPr>
    </w:lvl>
    <w:lvl w:ilvl="1" w:tplc="33C6AB64" w:tentative="1">
      <w:start w:val="1"/>
      <w:numFmt w:val="bullet"/>
      <w:lvlText w:val=""/>
      <w:lvlJc w:val="left"/>
      <w:pPr>
        <w:tabs>
          <w:tab w:val="num" w:pos="840"/>
        </w:tabs>
        <w:ind w:left="840" w:firstLine="0"/>
      </w:pPr>
      <w:rPr>
        <w:rFonts w:ascii="Symbol" w:hAnsi="Symbol" w:hint="default"/>
      </w:rPr>
    </w:lvl>
    <w:lvl w:ilvl="2" w:tplc="A51A6C8A" w:tentative="1">
      <w:start w:val="1"/>
      <w:numFmt w:val="bullet"/>
      <w:lvlText w:val=""/>
      <w:lvlJc w:val="left"/>
      <w:pPr>
        <w:tabs>
          <w:tab w:val="num" w:pos="1260"/>
        </w:tabs>
        <w:ind w:left="1260" w:firstLine="0"/>
      </w:pPr>
      <w:rPr>
        <w:rFonts w:ascii="Symbol" w:hAnsi="Symbol" w:hint="default"/>
      </w:rPr>
    </w:lvl>
    <w:lvl w:ilvl="3" w:tplc="837811A8" w:tentative="1">
      <w:start w:val="1"/>
      <w:numFmt w:val="bullet"/>
      <w:lvlText w:val=""/>
      <w:lvlJc w:val="left"/>
      <w:pPr>
        <w:tabs>
          <w:tab w:val="num" w:pos="1680"/>
        </w:tabs>
        <w:ind w:left="1680" w:firstLine="0"/>
      </w:pPr>
      <w:rPr>
        <w:rFonts w:ascii="Symbol" w:hAnsi="Symbol" w:hint="default"/>
      </w:rPr>
    </w:lvl>
    <w:lvl w:ilvl="4" w:tplc="AD344E1C" w:tentative="1">
      <w:start w:val="1"/>
      <w:numFmt w:val="bullet"/>
      <w:lvlText w:val=""/>
      <w:lvlJc w:val="left"/>
      <w:pPr>
        <w:tabs>
          <w:tab w:val="num" w:pos="2100"/>
        </w:tabs>
        <w:ind w:left="2100" w:firstLine="0"/>
      </w:pPr>
      <w:rPr>
        <w:rFonts w:ascii="Symbol" w:hAnsi="Symbol" w:hint="default"/>
      </w:rPr>
    </w:lvl>
    <w:lvl w:ilvl="5" w:tplc="D6FC0192" w:tentative="1">
      <w:start w:val="1"/>
      <w:numFmt w:val="bullet"/>
      <w:lvlText w:val=""/>
      <w:lvlJc w:val="left"/>
      <w:pPr>
        <w:tabs>
          <w:tab w:val="num" w:pos="2520"/>
        </w:tabs>
        <w:ind w:left="2520" w:firstLine="0"/>
      </w:pPr>
      <w:rPr>
        <w:rFonts w:ascii="Symbol" w:hAnsi="Symbol" w:hint="default"/>
      </w:rPr>
    </w:lvl>
    <w:lvl w:ilvl="6" w:tplc="7DDCEF5A" w:tentative="1">
      <w:start w:val="1"/>
      <w:numFmt w:val="bullet"/>
      <w:lvlText w:val=""/>
      <w:lvlJc w:val="left"/>
      <w:pPr>
        <w:tabs>
          <w:tab w:val="num" w:pos="2940"/>
        </w:tabs>
        <w:ind w:left="2940" w:firstLine="0"/>
      </w:pPr>
      <w:rPr>
        <w:rFonts w:ascii="Symbol" w:hAnsi="Symbol" w:hint="default"/>
      </w:rPr>
    </w:lvl>
    <w:lvl w:ilvl="7" w:tplc="0B1A3B98" w:tentative="1">
      <w:start w:val="1"/>
      <w:numFmt w:val="bullet"/>
      <w:lvlText w:val=""/>
      <w:lvlJc w:val="left"/>
      <w:pPr>
        <w:tabs>
          <w:tab w:val="num" w:pos="3360"/>
        </w:tabs>
        <w:ind w:left="3360" w:firstLine="0"/>
      </w:pPr>
      <w:rPr>
        <w:rFonts w:ascii="Symbol" w:hAnsi="Symbol" w:hint="default"/>
      </w:rPr>
    </w:lvl>
    <w:lvl w:ilvl="8" w:tplc="BFA801D0" w:tentative="1">
      <w:start w:val="1"/>
      <w:numFmt w:val="bullet"/>
      <w:lvlText w:val=""/>
      <w:lvlJc w:val="left"/>
      <w:pPr>
        <w:tabs>
          <w:tab w:val="num" w:pos="3780"/>
        </w:tabs>
        <w:ind w:left="3780" w:firstLine="0"/>
      </w:pPr>
      <w:rPr>
        <w:rFonts w:ascii="Symbol" w:hAnsi="Symbol" w:hint="default"/>
      </w:rPr>
    </w:lvl>
  </w:abstractNum>
  <w:abstractNum w:abstractNumId="2">
    <w:nsid w:val="38457E25"/>
    <w:multiLevelType w:val="hybridMultilevel"/>
    <w:tmpl w:val="729C64E4"/>
    <w:lvl w:ilvl="0" w:tplc="A45025E6">
      <w:start w:val="1"/>
      <w:numFmt w:val="japaneseCounting"/>
      <w:lvlText w:val="%1、"/>
      <w:lvlJc w:val="left"/>
      <w:pPr>
        <w:ind w:left="852" w:hanging="720"/>
      </w:pPr>
      <w:rPr>
        <w:rFonts w:hint="default"/>
      </w:rPr>
    </w:lvl>
    <w:lvl w:ilvl="1" w:tplc="04090019" w:tentative="1">
      <w:start w:val="1"/>
      <w:numFmt w:val="lowerLetter"/>
      <w:lvlText w:val="%2)"/>
      <w:lvlJc w:val="left"/>
      <w:pPr>
        <w:ind w:left="972" w:hanging="420"/>
      </w:pPr>
    </w:lvl>
    <w:lvl w:ilvl="2" w:tplc="0409001B" w:tentative="1">
      <w:start w:val="1"/>
      <w:numFmt w:val="lowerRoman"/>
      <w:lvlText w:val="%3."/>
      <w:lvlJc w:val="right"/>
      <w:pPr>
        <w:ind w:left="1392" w:hanging="420"/>
      </w:pPr>
    </w:lvl>
    <w:lvl w:ilvl="3" w:tplc="0409000F" w:tentative="1">
      <w:start w:val="1"/>
      <w:numFmt w:val="decimal"/>
      <w:lvlText w:val="%4."/>
      <w:lvlJc w:val="left"/>
      <w:pPr>
        <w:ind w:left="1812" w:hanging="420"/>
      </w:pPr>
    </w:lvl>
    <w:lvl w:ilvl="4" w:tplc="04090019" w:tentative="1">
      <w:start w:val="1"/>
      <w:numFmt w:val="lowerLetter"/>
      <w:lvlText w:val="%5)"/>
      <w:lvlJc w:val="left"/>
      <w:pPr>
        <w:ind w:left="2232" w:hanging="420"/>
      </w:pPr>
    </w:lvl>
    <w:lvl w:ilvl="5" w:tplc="0409001B" w:tentative="1">
      <w:start w:val="1"/>
      <w:numFmt w:val="lowerRoman"/>
      <w:lvlText w:val="%6."/>
      <w:lvlJc w:val="right"/>
      <w:pPr>
        <w:ind w:left="2652" w:hanging="420"/>
      </w:pPr>
    </w:lvl>
    <w:lvl w:ilvl="6" w:tplc="0409000F" w:tentative="1">
      <w:start w:val="1"/>
      <w:numFmt w:val="decimal"/>
      <w:lvlText w:val="%7."/>
      <w:lvlJc w:val="left"/>
      <w:pPr>
        <w:ind w:left="3072" w:hanging="420"/>
      </w:pPr>
    </w:lvl>
    <w:lvl w:ilvl="7" w:tplc="04090019" w:tentative="1">
      <w:start w:val="1"/>
      <w:numFmt w:val="lowerLetter"/>
      <w:lvlText w:val="%8)"/>
      <w:lvlJc w:val="left"/>
      <w:pPr>
        <w:ind w:left="3492" w:hanging="420"/>
      </w:pPr>
    </w:lvl>
    <w:lvl w:ilvl="8" w:tplc="0409001B" w:tentative="1">
      <w:start w:val="1"/>
      <w:numFmt w:val="lowerRoman"/>
      <w:lvlText w:val="%9."/>
      <w:lvlJc w:val="right"/>
      <w:pPr>
        <w:ind w:left="3912" w:hanging="420"/>
      </w:pPr>
    </w:lvl>
  </w:abstractNum>
  <w:abstractNum w:abstractNumId="3">
    <w:nsid w:val="45F76A69"/>
    <w:multiLevelType w:val="multilevel"/>
    <w:tmpl w:val="45F76A69"/>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AF5"/>
    <w:rsid w:val="00002EE8"/>
    <w:rsid w:val="000327F8"/>
    <w:rsid w:val="000407BF"/>
    <w:rsid w:val="00052734"/>
    <w:rsid w:val="00084800"/>
    <w:rsid w:val="00092AF5"/>
    <w:rsid w:val="000F391A"/>
    <w:rsid w:val="000F5CCF"/>
    <w:rsid w:val="0014143D"/>
    <w:rsid w:val="001C4D2C"/>
    <w:rsid w:val="001D351F"/>
    <w:rsid w:val="001F7D5B"/>
    <w:rsid w:val="00207F11"/>
    <w:rsid w:val="0022141B"/>
    <w:rsid w:val="0022271B"/>
    <w:rsid w:val="00245417"/>
    <w:rsid w:val="002A2A68"/>
    <w:rsid w:val="003B5EED"/>
    <w:rsid w:val="00432DA0"/>
    <w:rsid w:val="004502A2"/>
    <w:rsid w:val="004B23E7"/>
    <w:rsid w:val="004E3037"/>
    <w:rsid w:val="004F538B"/>
    <w:rsid w:val="00545C01"/>
    <w:rsid w:val="006946B3"/>
    <w:rsid w:val="007529F9"/>
    <w:rsid w:val="00754733"/>
    <w:rsid w:val="00756087"/>
    <w:rsid w:val="00891DBD"/>
    <w:rsid w:val="00941E14"/>
    <w:rsid w:val="00A057C8"/>
    <w:rsid w:val="00A21275"/>
    <w:rsid w:val="00A6236E"/>
    <w:rsid w:val="00AC55D1"/>
    <w:rsid w:val="00AD3DE8"/>
    <w:rsid w:val="00AF5DBD"/>
    <w:rsid w:val="00BD016E"/>
    <w:rsid w:val="00C910E0"/>
    <w:rsid w:val="00CA4C6A"/>
    <w:rsid w:val="00CB10FD"/>
    <w:rsid w:val="00D02AC6"/>
    <w:rsid w:val="00D452F8"/>
    <w:rsid w:val="00DA5C27"/>
    <w:rsid w:val="00DB28AF"/>
    <w:rsid w:val="00DF5AA1"/>
    <w:rsid w:val="00E10739"/>
    <w:rsid w:val="00EC4150"/>
    <w:rsid w:val="00F14A9B"/>
    <w:rsid w:val="00FC7EC2"/>
    <w:rsid w:val="00FF6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AC6"/>
    <w:rPr>
      <w:sz w:val="18"/>
      <w:szCs w:val="18"/>
    </w:rPr>
  </w:style>
  <w:style w:type="paragraph" w:styleId="a4">
    <w:name w:val="footer"/>
    <w:basedOn w:val="a"/>
    <w:link w:val="Char0"/>
    <w:uiPriority w:val="99"/>
    <w:unhideWhenUsed/>
    <w:rsid w:val="00D02AC6"/>
    <w:pPr>
      <w:tabs>
        <w:tab w:val="center" w:pos="4153"/>
        <w:tab w:val="right" w:pos="8306"/>
      </w:tabs>
      <w:snapToGrid w:val="0"/>
      <w:jc w:val="left"/>
    </w:pPr>
    <w:rPr>
      <w:sz w:val="18"/>
      <w:szCs w:val="18"/>
    </w:rPr>
  </w:style>
  <w:style w:type="character" w:customStyle="1" w:styleId="Char0">
    <w:name w:val="页脚 Char"/>
    <w:basedOn w:val="a0"/>
    <w:link w:val="a4"/>
    <w:uiPriority w:val="99"/>
    <w:rsid w:val="00D02AC6"/>
    <w:rPr>
      <w:sz w:val="18"/>
      <w:szCs w:val="18"/>
    </w:rPr>
  </w:style>
  <w:style w:type="paragraph" w:styleId="a5">
    <w:name w:val="Balloon Text"/>
    <w:basedOn w:val="a"/>
    <w:link w:val="Char1"/>
    <w:uiPriority w:val="99"/>
    <w:semiHidden/>
    <w:unhideWhenUsed/>
    <w:rsid w:val="00DF5AA1"/>
    <w:rPr>
      <w:sz w:val="18"/>
      <w:szCs w:val="18"/>
    </w:rPr>
  </w:style>
  <w:style w:type="character" w:customStyle="1" w:styleId="Char1">
    <w:name w:val="批注框文本 Char"/>
    <w:basedOn w:val="a0"/>
    <w:link w:val="a5"/>
    <w:uiPriority w:val="99"/>
    <w:semiHidden/>
    <w:rsid w:val="00DF5AA1"/>
    <w:rPr>
      <w:sz w:val="18"/>
      <w:szCs w:val="18"/>
    </w:rPr>
  </w:style>
  <w:style w:type="table" w:styleId="a6">
    <w:name w:val="Table Grid"/>
    <w:basedOn w:val="a1"/>
    <w:uiPriority w:val="59"/>
    <w:rsid w:val="00756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A2A68"/>
    <w:rPr>
      <w:color w:val="0000FF" w:themeColor="hyperlink"/>
      <w:u w:val="single"/>
    </w:rPr>
  </w:style>
  <w:style w:type="paragraph" w:styleId="a8">
    <w:name w:val="List Paragraph"/>
    <w:basedOn w:val="a"/>
    <w:uiPriority w:val="34"/>
    <w:qFormat/>
    <w:rsid w:val="00DA5C27"/>
    <w:pPr>
      <w:ind w:firstLineChars="200" w:firstLine="420"/>
    </w:pPr>
  </w:style>
  <w:style w:type="paragraph" w:customStyle="1" w:styleId="1">
    <w:name w:val="列出段落1"/>
    <w:basedOn w:val="a"/>
    <w:uiPriority w:val="99"/>
    <w:unhideWhenUsed/>
    <w:qFormat/>
    <w:rsid w:val="00891D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AC6"/>
    <w:rPr>
      <w:sz w:val="18"/>
      <w:szCs w:val="18"/>
    </w:rPr>
  </w:style>
  <w:style w:type="paragraph" w:styleId="a4">
    <w:name w:val="footer"/>
    <w:basedOn w:val="a"/>
    <w:link w:val="Char0"/>
    <w:uiPriority w:val="99"/>
    <w:unhideWhenUsed/>
    <w:rsid w:val="00D02AC6"/>
    <w:pPr>
      <w:tabs>
        <w:tab w:val="center" w:pos="4153"/>
        <w:tab w:val="right" w:pos="8306"/>
      </w:tabs>
      <w:snapToGrid w:val="0"/>
      <w:jc w:val="left"/>
    </w:pPr>
    <w:rPr>
      <w:sz w:val="18"/>
      <w:szCs w:val="18"/>
    </w:rPr>
  </w:style>
  <w:style w:type="character" w:customStyle="1" w:styleId="Char0">
    <w:name w:val="页脚 Char"/>
    <w:basedOn w:val="a0"/>
    <w:link w:val="a4"/>
    <w:uiPriority w:val="99"/>
    <w:rsid w:val="00D02AC6"/>
    <w:rPr>
      <w:sz w:val="18"/>
      <w:szCs w:val="18"/>
    </w:rPr>
  </w:style>
  <w:style w:type="paragraph" w:styleId="a5">
    <w:name w:val="Balloon Text"/>
    <w:basedOn w:val="a"/>
    <w:link w:val="Char1"/>
    <w:uiPriority w:val="99"/>
    <w:semiHidden/>
    <w:unhideWhenUsed/>
    <w:rsid w:val="00DF5AA1"/>
    <w:rPr>
      <w:sz w:val="18"/>
      <w:szCs w:val="18"/>
    </w:rPr>
  </w:style>
  <w:style w:type="character" w:customStyle="1" w:styleId="Char1">
    <w:name w:val="批注框文本 Char"/>
    <w:basedOn w:val="a0"/>
    <w:link w:val="a5"/>
    <w:uiPriority w:val="99"/>
    <w:semiHidden/>
    <w:rsid w:val="00DF5AA1"/>
    <w:rPr>
      <w:sz w:val="18"/>
      <w:szCs w:val="18"/>
    </w:rPr>
  </w:style>
  <w:style w:type="table" w:styleId="a6">
    <w:name w:val="Table Grid"/>
    <w:basedOn w:val="a1"/>
    <w:uiPriority w:val="59"/>
    <w:rsid w:val="00756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A2A68"/>
    <w:rPr>
      <w:color w:val="0000FF" w:themeColor="hyperlink"/>
      <w:u w:val="single"/>
    </w:rPr>
  </w:style>
  <w:style w:type="paragraph" w:styleId="a8">
    <w:name w:val="List Paragraph"/>
    <w:basedOn w:val="a"/>
    <w:uiPriority w:val="34"/>
    <w:qFormat/>
    <w:rsid w:val="00DA5C27"/>
    <w:pPr>
      <w:ind w:firstLineChars="200" w:firstLine="420"/>
    </w:pPr>
  </w:style>
  <w:style w:type="paragraph" w:customStyle="1" w:styleId="1">
    <w:name w:val="列出段落1"/>
    <w:basedOn w:val="a"/>
    <w:uiPriority w:val="99"/>
    <w:unhideWhenUsed/>
    <w:qFormat/>
    <w:rsid w:val="00891DBD"/>
    <w:pPr>
      <w:ind w:firstLineChars="200" w:firstLine="420"/>
    </w:pPr>
  </w:style>
</w:styles>
</file>

<file path=word/webSettings.xml><?xml version="1.0" encoding="utf-8"?>
<w:webSettings xmlns:r="http://schemas.openxmlformats.org/officeDocument/2006/relationships" xmlns:w="http://schemas.openxmlformats.org/wordprocessingml/2006/main">
  <w:divs>
    <w:div w:id="1775251633">
      <w:bodyDiv w:val="1"/>
      <w:marLeft w:val="0"/>
      <w:marRight w:val="0"/>
      <w:marTop w:val="0"/>
      <w:marBottom w:val="0"/>
      <w:divBdr>
        <w:top w:val="none" w:sz="0" w:space="0" w:color="auto"/>
        <w:left w:val="none" w:sz="0" w:space="0" w:color="auto"/>
        <w:bottom w:val="none" w:sz="0" w:space="0" w:color="auto"/>
        <w:right w:val="none" w:sz="0" w:space="0" w:color="auto"/>
      </w:divBdr>
      <w:divsChild>
        <w:div w:id="1900238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5057-11D7-4F37-AC41-C12FC188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tc</cp:lastModifiedBy>
  <cp:revision>4</cp:revision>
  <dcterms:created xsi:type="dcterms:W3CDTF">2017-12-12T09:41:00Z</dcterms:created>
  <dcterms:modified xsi:type="dcterms:W3CDTF">2018-04-08T05:23:00Z</dcterms:modified>
</cp:coreProperties>
</file>